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仿宋" w:eastAsia="仿宋_GB2312"/>
          <w:spacing w:val="60"/>
          <w:sz w:val="32"/>
          <w:szCs w:val="24"/>
        </w:rPr>
      </w:pPr>
      <w:r>
        <w:rPr>
          <w:rFonts w:hint="eastAsia" w:ascii="仿宋_GB2312" w:hAnsi="仿宋" w:eastAsia="仿宋_GB2312"/>
          <w:spacing w:val="57"/>
          <w:sz w:val="32"/>
          <w:szCs w:val="24"/>
        </w:rPr>
        <w:t>市十六届人大常委会</w:t>
      </w:r>
    </w:p>
    <w:p>
      <w:pPr>
        <w:jc w:val="both"/>
        <w:rPr>
          <w:rFonts w:hint="eastAsia" w:ascii="仿宋_GB2312" w:hAnsi="仿宋" w:eastAsia="仿宋_GB2312" w:cs="仿宋_GB2312"/>
          <w:spacing w:val="6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pacing w:val="89"/>
          <w:kern w:val="0"/>
          <w:sz w:val="32"/>
          <w:szCs w:val="22"/>
        </w:rPr>
        <w:t>第十</w:t>
      </w:r>
      <w:r>
        <w:rPr>
          <w:rFonts w:hint="eastAsia" w:ascii="仿宋_GB2312" w:hAnsi="仿宋" w:eastAsia="仿宋_GB2312"/>
          <w:spacing w:val="89"/>
          <w:kern w:val="0"/>
          <w:sz w:val="32"/>
          <w:szCs w:val="22"/>
          <w:lang w:eastAsia="zh-CN"/>
        </w:rPr>
        <w:t>六</w:t>
      </w:r>
      <w:r>
        <w:rPr>
          <w:rFonts w:hint="eastAsia" w:ascii="仿宋_GB2312" w:hAnsi="仿宋" w:eastAsia="仿宋_GB2312"/>
          <w:spacing w:val="89"/>
          <w:kern w:val="0"/>
          <w:sz w:val="32"/>
          <w:szCs w:val="22"/>
        </w:rPr>
        <w:t>次会议文</w:t>
      </w:r>
      <w:r>
        <w:rPr>
          <w:rFonts w:hint="eastAsia" w:ascii="仿宋_GB2312" w:hAnsi="仿宋" w:eastAsia="仿宋_GB2312"/>
          <w:spacing w:val="1"/>
          <w:kern w:val="0"/>
          <w:sz w:val="32"/>
          <w:szCs w:val="22"/>
        </w:rPr>
        <w:t>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关于潮州市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国有资产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管理情况报告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tabs>
          <w:tab w:val="left" w:pos="977"/>
          <w:tab w:val="center" w:pos="4482"/>
        </w:tabs>
        <w:spacing w:line="360" w:lineRule="auto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Style w:val="15"/>
          <w:rFonts w:hint="eastAsia"/>
          <w:color w:val="auto"/>
        </w:rPr>
        <w:t>—</w:t>
      </w:r>
      <w:r>
        <w:rPr>
          <w:rStyle w:val="15"/>
          <w:rFonts w:hint="eastAsia"/>
          <w:color w:val="auto"/>
          <w:spacing w:val="30"/>
        </w:rPr>
        <w:t>—</w:t>
      </w:r>
      <w:r>
        <w:rPr>
          <w:rFonts w:hint="eastAsia" w:ascii="楷体_GB2312" w:hAnsi="楷体" w:eastAsia="楷体_GB2312"/>
          <w:sz w:val="32"/>
          <w:szCs w:val="32"/>
        </w:rPr>
        <w:t>2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023</w:t>
      </w:r>
      <w:r>
        <w:rPr>
          <w:rFonts w:hint="eastAsia" w:ascii="楷体_GB2312" w:hAnsi="楷体" w:eastAsia="楷体_GB2312"/>
          <w:sz w:val="32"/>
          <w:szCs w:val="32"/>
        </w:rPr>
        <w:t>年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" w:eastAsia="楷体_GB2312"/>
          <w:sz w:val="32"/>
          <w:szCs w:val="32"/>
        </w:rPr>
        <w:t>月在潮州市第十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六</w:t>
      </w:r>
      <w:r>
        <w:rPr>
          <w:rFonts w:hint="eastAsia" w:ascii="楷体_GB2312" w:hAnsi="楷体" w:eastAsia="楷体_GB2312"/>
          <w:sz w:val="32"/>
          <w:szCs w:val="32"/>
        </w:rPr>
        <w:t>届人民代表大会</w:t>
      </w:r>
    </w:p>
    <w:p>
      <w:pPr>
        <w:spacing w:line="360" w:lineRule="auto"/>
        <w:ind w:left="0" w:leftChars="0" w:firstLine="1600" w:firstLineChars="500"/>
        <w:jc w:val="left"/>
        <w:rPr>
          <w:rFonts w:hint="eastAsia" w:ascii="楷体_GB2312" w:hAnsi="楷体" w:eastAsia="楷体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sz w:val="32"/>
          <w:szCs w:val="32"/>
        </w:rPr>
        <w:t>常务委员会第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十六</w:t>
      </w:r>
      <w:r>
        <w:rPr>
          <w:rFonts w:hint="eastAsia" w:ascii="楷体_GB2312" w:hAnsi="楷体" w:eastAsia="楷体_GB2312"/>
          <w:sz w:val="32"/>
          <w:szCs w:val="32"/>
        </w:rPr>
        <w:t>次会议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上</w:t>
      </w:r>
    </w:p>
    <w:p>
      <w:pPr>
        <w:spacing w:line="360" w:lineRule="auto"/>
        <w:jc w:val="center"/>
        <w:rPr>
          <w:rFonts w:hint="eastAsia" w:ascii="楷体_GB2312" w:hAnsi="楷体" w:eastAsia="楷体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sz w:val="32"/>
          <w:szCs w:val="32"/>
        </w:rPr>
        <w:t>潮州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市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财政局局长</w:t>
      </w:r>
      <w:r>
        <w:rPr>
          <w:rFonts w:hint="eastAsia" w:ascii="楷体_GB2312" w:hAnsi="楷体" w:eastAsia="楷体_GB2312"/>
          <w:sz w:val="32"/>
          <w:szCs w:val="32"/>
        </w:rPr>
        <w:t xml:space="preserve">  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黄航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主任、各位副主任、秘书长，各位委员：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受市人民政府的委托，现将潮州市2022年度金融类企业国有资产管理情况报告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提请市人大常委会审议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一、金融类企业国有资产总体情况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截止2022年底，我市地方国有持股的金融类企业共2家，分别为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潮州市潮发融资担保有限公司、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粤财普惠金融（潮州）融资担保股份有限公司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为担保类企业，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注册资本共22000万元，从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业人员共23人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从国有资产总量来看，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两家企业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国有资产合计30470万元，同比增加924万元，增长3.1%；负债合计4294万元，同比减少112万元，下降2.5%；所有者权益合计26176万元，同比增加1035万元，增长4.1%。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从年度效益来看，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两家企业营业收入合计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2121万元，同比减少44万元，下降2.0%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；净利润合计1219万元，同比减少189万元，下降11.5%；实缴税金合计582万元，同比增加154万元，增长36.0%。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从国有资本保值增值情况来看，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两家企业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所有者权益总额26176万元，比期初25141万元增加1035万元，增幅为4.1%；年度资本保值增值率分别为潮发担保公司107.3%、粤财普惠潮州担保公司102.5%。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zh-CN" w:eastAsia="zh-CN" w:bidi="ar-SA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金融类企业国有资产管理情况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" w:leftChars="0" w:firstLine="620" w:firstLineChars="193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一是明确监管主体。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市财政于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收回凤泉湖高新区管委会对潮发担保公司的管理权限，全面履行国有金融资本出资人职责，并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对潮发担保公司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进行管理，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金融局做好金融监管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二是完善管理制度。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自2022年起将潮发担保公司纳入国有资本经营预算编制范围，公司办公经费及人员工资费用直接在经营成本中列支，税后利润按规定抵扣以前年度亏损和计提法定公积金后，按30%比例上交，进一步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规范国有资本经营预算的编制和管理。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创新合作模式。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潮发担保公司与潮州市青年商会协商合作创新推出“青商模式”，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由青商会出资1000万元成立贷款担保风险补偿基金，建立风险共担模式，进一步提升潮发担保的服务能力和风控能力。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强化风险防控。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健全我市金融类企业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“三会一层”组织架构，完善内部控制与风险管理，2022年度2家担保公司均足额提取未到期责任准备金和担保赔偿准备金，未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发生新增融资担保损失，行业风险总体可控。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加大监管力度。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政府性融资担保机构违规收费专项检查，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加强国有金融企业薪酬管理，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建立健全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绩效评价机制，强化绩效管理激励约束作用，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引导政府性融资担保机构更好支持小微企业和“三农”发展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zh-CN" w:eastAsia="zh-CN" w:bidi="ar-SA"/>
        </w:rPr>
        <w:t>三、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zh-CN" w:eastAsia="zh-CN" w:bidi="ar-SA"/>
        </w:rPr>
        <w:t>国有金融企业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服务国家战略，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zh-CN" w:eastAsia="zh-CN" w:bidi="ar-SA"/>
        </w:rPr>
        <w:t>助力稳经济大盘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稳步提高小微企业和“三农”融资担保在保余额占比，市金融局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对辖内公司支小支农业务规模等指标加强监控分析。2022年度，我市辖内2家融资担保公司新增小微企业融资担保客户612户，新增小微企业融资担保发生额53300万元。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严格落实降费让利政策，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推动融资性担保公司以保本微利的原则开展业务，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降低小微企业融资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成本。2022年度2家融资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担保公司对小微企业和“三农”主体项目年化担保费率为0.97%，（全省考核目标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  <w:t>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1.5%）。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拓宽银担合作渠道，截至2022年底，我市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融资担保公司已与建中农交等10家金融机构建立了业务合作关系，累计为我市小微企业提供担保金额超3.5亿元。此外，潮发担保公司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与潮州市青年商会协商合作创新推出的“青商模式”已为4家小微企业提供超1500万元融资担保贷款，预计可为50多家小微企业提供最高总额1亿元免抵押贷款。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四、存在问题与下一步工作重点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目前，我市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2家政府性融资担保公司注册资金仅2.2亿元，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规模实力不强，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发挥政策担保服务企业发展的能力相对不足；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以“政银担”共担风险为特点的政府性融资担保体系还未能建立起来，承担全部借贷风险的担保公司面临代偿风险；公司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绩效薪酬制度还不够完善，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未能充分发挥工资薪酬正向激励的作用。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下一步，我市将强化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融资担保体系建设，全面深入开展“政银担”业务模式，壮大融资担保行业规模实力，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引导政府性融资担保机构积极为实体经济融资服务，重点为符合产业政策、有市场发展前景的中小微企业和“三农”提供融资担保，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努力缓解企业融资难融资贵问题；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督促国有金融类企业履行好防控金融风险的主体责任，健全资本约束机制，防范金融企业内部控制，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国有金融企业法人治理结构，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建立风险防火墙，强化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国有金融企业财政财务监督、财务风险监测与评价、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金融运行动态分析等，防范化解财务风险；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指导并督促融资担保公司完善内控制度，优化公司薪酬体系，发挥工资薪酬的正向激励作用。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以上报告，请予审议。</w:t>
      </w:r>
    </w:p>
    <w:p>
      <w:pPr>
        <w:pStyle w:val="8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8344A"/>
    <w:rsid w:val="040E5258"/>
    <w:rsid w:val="18C86A0A"/>
    <w:rsid w:val="1C7261D8"/>
    <w:rsid w:val="20E800B9"/>
    <w:rsid w:val="30B521FC"/>
    <w:rsid w:val="352D5450"/>
    <w:rsid w:val="3FD6268F"/>
    <w:rsid w:val="53F72EDE"/>
    <w:rsid w:val="5DF121E2"/>
    <w:rsid w:val="61106C70"/>
    <w:rsid w:val="64801320"/>
    <w:rsid w:val="6F78344A"/>
    <w:rsid w:val="73B870A1"/>
    <w:rsid w:val="73E33194"/>
    <w:rsid w:val="7B7768DA"/>
    <w:rsid w:val="7E7E2023"/>
    <w:rsid w:val="7F7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Droid Sans"/>
      <w:sz w:val="21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_Style 5"/>
    <w:qFormat/>
    <w:uiPriority w:val="0"/>
    <w:pPr>
      <w:widowControl w:val="0"/>
      <w:ind w:firstLine="200" w:firstLineChars="200"/>
      <w:jc w:val="both"/>
    </w:pPr>
    <w:rPr>
      <w:rFonts w:hint="default" w:ascii="Times New Roman" w:hAnsi="Times New Roman" w:eastAsia="宋体" w:cs="Times New Roman"/>
      <w:kern w:val="2"/>
      <w:sz w:val="24"/>
      <w:szCs w:val="22"/>
      <w:lang w:val="en-US" w:eastAsia="zh-CN"/>
    </w:rPr>
  </w:style>
  <w:style w:type="paragraph" w:customStyle="1" w:styleId="9">
    <w:name w:val="列出段落"/>
    <w:basedOn w:val="1"/>
    <w:qFormat/>
    <w:uiPriority w:val="0"/>
    <w:pPr>
      <w:ind w:firstLine="20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 Char Char1"/>
    <w:link w:val="3"/>
    <w:qFormat/>
    <w:uiPriority w:val="0"/>
    <w:rPr>
      <w:rFonts w:ascii="Luxi Sans" w:hAnsi="Luxi Sans" w:eastAsia="永中黑体"/>
      <w:b/>
      <w:sz w:val="32"/>
    </w:rPr>
  </w:style>
  <w:style w:type="paragraph" w:customStyle="1" w:styleId="12">
    <w:name w:val="Body text|1"/>
    <w:basedOn w:val="1"/>
    <w:next w:val="13"/>
    <w:qFormat/>
    <w:uiPriority w:val="99"/>
    <w:pPr>
      <w:spacing w:line="348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/>
    </w:rPr>
  </w:style>
  <w:style w:type="paragraph" w:customStyle="1" w:styleId="13">
    <w:name w:val="Normal_4dc6769f-941f-4d99-b068-06f30bbe598d"/>
    <w:next w:val="1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customStyle="1" w:styleId="14">
    <w:name w:val="正文缩进1"/>
    <w:basedOn w:val="1"/>
    <w:next w:val="1"/>
    <w:qFormat/>
    <w:uiPriority w:val="99"/>
    <w:pPr>
      <w:adjustRightInd w:val="0"/>
      <w:spacing w:line="312" w:lineRule="atLeast"/>
      <w:ind w:firstLine="420"/>
      <w:textAlignment w:val="baseline"/>
    </w:pPr>
    <w:rPr>
      <w:rFonts w:eastAsia="宋体"/>
      <w:sz w:val="21"/>
      <w:szCs w:val="21"/>
    </w:rPr>
  </w:style>
  <w:style w:type="character" w:customStyle="1" w:styleId="15">
    <w:name w:val="楷体—→—"/>
    <w:basedOn w:val="7"/>
    <w:qFormat/>
    <w:uiPriority w:val="0"/>
    <w:rPr>
      <w:rFonts w:ascii="楷体_GB2312" w:hAnsi="仿宋_GB2312" w:eastAsia="楷体_GB2312" w:cs="仿宋_GB2312"/>
      <w:color w:val="000000"/>
      <w:spacing w:val="-3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2023-08-07T08:43:00Z</dcterms:created>
  <dc:creator>蔡楚芬</dc:creator>
  <cp:lastModifiedBy>czj1140</cp:lastModifiedBy>
  <cp:lastPrinted>2023-10-25T03:30:21Z</cp:lastPrinted>
  <dcterms:modified xsi:type="dcterms:W3CDTF">2023-10-25T03:31:31Z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